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FDDD2">
      <w:pPr>
        <w:spacing w:line="360" w:lineRule="auto"/>
        <w:ind w:firstLine="440" w:firstLineChars="100"/>
        <w:jc w:val="both"/>
        <w:rPr>
          <w:rFonts w:hint="eastAsia" w:ascii="宋体" w:hAnsi="宋体" w:eastAsia="宋体" w:cs="宋体"/>
          <w:b/>
          <w:bCs/>
          <w:sz w:val="36"/>
          <w:szCs w:val="36"/>
          <w:highlight w:val="none"/>
          <w:lang w:val="en-US" w:eastAsia="zh-CN"/>
        </w:rPr>
      </w:pPr>
      <w:r>
        <w:rPr>
          <w:rFonts w:hint="eastAsia" w:ascii="方正小标宋简体" w:hAnsi="方正小标宋简体" w:eastAsia="方正小标宋简体" w:cs="方正小标宋简体"/>
          <w:b w:val="0"/>
          <w:bCs w:val="0"/>
          <w:sz w:val="44"/>
          <w:szCs w:val="44"/>
          <w:highlight w:val="none"/>
          <w:lang w:eastAsia="zh-CN"/>
        </w:rPr>
        <w:t>第六讲</w:t>
      </w:r>
      <w:r>
        <w:rPr>
          <w:rFonts w:hint="eastAsia" w:ascii="方正小标宋简体" w:hAnsi="方正小标宋简体" w:eastAsia="方正小标宋简体" w:cs="方正小标宋简体"/>
          <w:b w:val="0"/>
          <w:bCs w:val="0"/>
          <w:sz w:val="44"/>
          <w:szCs w:val="44"/>
          <w:highlight w:val="none"/>
          <w:lang w:val="en-US" w:eastAsia="zh-CN"/>
        </w:rPr>
        <w:t xml:space="preserve">  </w:t>
      </w:r>
      <w:r>
        <w:rPr>
          <w:rFonts w:hint="eastAsia" w:ascii="方正小标宋简体" w:hAnsi="方正小标宋简体" w:eastAsia="方正小标宋简体" w:cs="方正小标宋简体"/>
          <w:b w:val="0"/>
          <w:bCs w:val="0"/>
          <w:sz w:val="44"/>
          <w:szCs w:val="44"/>
          <w:highlight w:val="none"/>
        </w:rPr>
        <w:t>高血压</w:t>
      </w:r>
      <w:r>
        <w:rPr>
          <w:rFonts w:hint="eastAsia" w:ascii="方正小标宋简体" w:hAnsi="方正小标宋简体" w:eastAsia="方正小标宋简体" w:cs="方正小标宋简体"/>
          <w:b w:val="0"/>
          <w:bCs w:val="0"/>
          <w:sz w:val="44"/>
          <w:szCs w:val="44"/>
          <w:highlight w:val="none"/>
          <w:lang w:val="en-US" w:eastAsia="zh-CN"/>
        </w:rPr>
        <w:t>诊断的实验室指标解读</w:t>
      </w:r>
    </w:p>
    <w:p w14:paraId="2E2BF99D">
      <w:pPr>
        <w:spacing w:line="360" w:lineRule="auto"/>
        <w:ind w:firstLine="2352" w:firstLineChars="700"/>
        <w:jc w:val="both"/>
        <w:rPr>
          <w:rFonts w:hint="eastAsia" w:ascii="仿宋_GB2312" w:hAnsi="仿宋_GB2312" w:eastAsia="仿宋_GB2312" w:cs="仿宋_GB2312"/>
          <w:spacing w:val="8"/>
          <w:kern w:val="36"/>
          <w:sz w:val="32"/>
          <w:szCs w:val="32"/>
        </w:rPr>
      </w:pPr>
      <w:r>
        <w:rPr>
          <w:rFonts w:hint="eastAsia" w:ascii="仿宋_GB2312" w:hAnsi="仿宋_GB2312" w:eastAsia="仿宋_GB2312" w:cs="仿宋_GB2312"/>
          <w:spacing w:val="8"/>
          <w:kern w:val="36"/>
          <w:sz w:val="32"/>
          <w:szCs w:val="32"/>
          <w:lang w:val="en-US" w:eastAsia="zh-CN"/>
        </w:rPr>
        <w:t>泉州市第一医院</w:t>
      </w:r>
      <w:r>
        <w:rPr>
          <w:rFonts w:hint="eastAsia" w:ascii="仿宋_GB2312" w:hAnsi="仿宋_GB2312" w:eastAsia="仿宋_GB2312" w:cs="仿宋_GB2312"/>
          <w:spacing w:val="8"/>
          <w:kern w:val="36"/>
          <w:sz w:val="32"/>
          <w:szCs w:val="32"/>
        </w:rPr>
        <w:t xml:space="preserve">  </w:t>
      </w:r>
      <w:r>
        <w:rPr>
          <w:rFonts w:hint="eastAsia" w:ascii="仿宋_GB2312" w:hAnsi="仿宋_GB2312" w:eastAsia="仿宋_GB2312" w:cs="仿宋_GB2312"/>
          <w:spacing w:val="8"/>
          <w:kern w:val="36"/>
          <w:sz w:val="32"/>
          <w:szCs w:val="32"/>
          <w:lang w:val="en-US" w:eastAsia="zh-CN"/>
        </w:rPr>
        <w:t>张志珊</w:t>
      </w:r>
      <w:r>
        <w:rPr>
          <w:rFonts w:hint="eastAsia" w:ascii="仿宋_GB2312" w:hAnsi="仿宋_GB2312" w:eastAsia="仿宋_GB2312" w:cs="仿宋_GB2312"/>
          <w:spacing w:val="8"/>
          <w:kern w:val="36"/>
          <w:sz w:val="32"/>
          <w:szCs w:val="32"/>
        </w:rPr>
        <w:t xml:space="preserve"> </w:t>
      </w:r>
    </w:p>
    <w:p w14:paraId="372DCC73">
      <w:pPr>
        <w:spacing w:line="360" w:lineRule="auto"/>
        <w:ind w:firstLine="672" w:firstLineChars="200"/>
        <w:jc w:val="center"/>
        <w:rPr>
          <w:rFonts w:hint="eastAsia" w:ascii="仿宋_GB2312" w:hAnsi="仿宋_GB2312" w:eastAsia="仿宋_GB2312" w:cs="仿宋_GB2312"/>
          <w:spacing w:val="8"/>
          <w:kern w:val="36"/>
          <w:sz w:val="32"/>
          <w:szCs w:val="32"/>
          <w:lang w:val="en-US" w:eastAsia="zh-CN"/>
        </w:rPr>
      </w:pPr>
    </w:p>
    <w:p w14:paraId="7124BBBC">
      <w:pPr>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是一种以动脉血压持续升高为特征的慢性疾病，是全球范围内最常见的慢性病之一，也是心脑血管疾病的重要危险因素。高血压被称为“无声的杀手”，因为早期通常无明显症状，但长期未控制的高血压会对心、脑、肾、眼等多个靶器官造成损害，增加冠心病、脑卒中、心力衰竭、慢性肾病等疾病的风险。据统计，高血压是全球导致死亡和残疾的主要原因之一，每年有数百万人因高血压相关并发症而死亡。</w:t>
      </w:r>
    </w:p>
    <w:p w14:paraId="1C4A04D9">
      <w:pPr>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《中国高血压防治指南(2024年修订版)》</w:t>
      </w:r>
      <w:r>
        <w:rPr>
          <w:rFonts w:hint="eastAsia" w:ascii="仿宋_GB2312" w:hAnsi="仿宋_GB2312" w:eastAsia="仿宋_GB2312" w:cs="仿宋_GB2312"/>
          <w:b w:val="0"/>
          <w:bCs w:val="0"/>
          <w:sz w:val="32"/>
          <w:szCs w:val="32"/>
          <w:lang w:val="en-US" w:eastAsia="zh-CN"/>
        </w:rPr>
        <w:t>将高血压定义为:在未使用降压药的情况下，诊室血压≥140/90mmHg；或家庭血压≥135/85mmHg；或24h动态血压≥130/80mmHg，白天血压≥135/85mmHg，夜间血压≥120/70mmHg。</w:t>
      </w:r>
      <w:r>
        <w:rPr>
          <w:rFonts w:hint="eastAsia" w:ascii="仿宋_GB2312" w:hAnsi="仿宋_GB2312" w:eastAsia="仿宋_GB2312" w:cs="仿宋_GB2312"/>
          <w:b w:val="0"/>
          <w:bCs w:val="0"/>
          <w:sz w:val="32"/>
          <w:szCs w:val="32"/>
        </w:rPr>
        <w:t>随着人口老龄化、生活方式改变（如高盐饮食、缺乏运动、肥胖等），高血压的患病率逐年上升。全球范围内，高血压的防控已成为公共卫生领域的重点任务。通过健康的生活方式干预（如低盐饮食、戒烟限酒、适量运动）和规范的药物治疗，可以有效控制血压，降低并发症风险。因此，早期筛查、诊断和规范化管理对高血压的防治至关重要。</w:t>
      </w:r>
    </w:p>
    <w:p w14:paraId="4EF9C372">
      <w:pPr>
        <w:spacing w:line="36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高血压可分为原发性高血压和继发性高血压，其中原发性高血压占大多数，病因尚未完全明确，可能与遗传、环境、生活方式等多种因素相关；继发性高血压是指由特定疾病或病因引起的高血压，约占高血压患者的10%。其病因多样，主要包括肾脏疾病（如慢性肾炎、肾动脉狭窄）、内分泌疾病（如原发性醛固酮增多症、库欣综合征、嗜铬细胞瘤）、心血管疾病（如主动脉缩窄）、睡眠呼吸暂停综合征以及药物或物质（如激素、酒精）等。与原发性高血压不同，继发性高血压通常起病较急，血压水平较高，且难以通过常规降压药物控制。明确病因后，针对原发病进行治疗，部分患者可完全治愈或显著改善血压。因此，对于年轻患者、血压突然升高或难治性高血压，应积极筛查继发性高血压的可能，以实现精准治疗。</w:t>
      </w:r>
    </w:p>
    <w:p w14:paraId="26F2327B">
      <w:pPr>
        <w:spacing w:line="360" w:lineRule="auto"/>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因此推荐临床上对高血压患者除了详细询问患者病史以及全面的体格检查外，可以做高血压激素五项（促肾上腺皮质激素、皮质醇激素、肾素血管紧张素II）检查，以鉴别原发和继发性高血压。以下对高血压激素五项的检测及临床应用做一介绍。</w:t>
      </w:r>
    </w:p>
    <w:p w14:paraId="41E02547">
      <w:pPr>
        <w:numPr>
          <w:ilvl w:val="0"/>
          <w:numId w:val="0"/>
        </w:numPr>
        <w:spacing w:line="360" w:lineRule="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一、高血压激素五项的生理功能、分泌调节及临床意义</w:t>
      </w:r>
    </w:p>
    <w:p w14:paraId="2483F2B9">
      <w:pPr>
        <w:numPr>
          <w:ilvl w:val="0"/>
          <w:numId w:val="0"/>
        </w:numPr>
        <w:spacing w:line="360" w:lineRule="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 下丘脑---垂体----肾上腺皮质轴（HPA）</w:t>
      </w:r>
    </w:p>
    <w:p w14:paraId="49624442">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体应激时，下丘脑分泌促肾上腺皮质激素释放激素（CRH），刺激垂体前叶释放促肾上腺皮质激素（ACTH），ACTH进一步作用于肾上腺皮质，促进糖皮质激素（主要是皮质醇）的合成与分泌。皮质醇在调节代谢、免疫和应激反应中起关键作用。当皮质醇水平升高时，通过负反馈机制抑制下丘脑和垂体的活动，减少CRH和ACTH的分泌，从而维持激素水平的动态平衡。HPA轴的功能异常与多种疾病相关，如抑郁症、库欣综合征等。</w:t>
      </w:r>
    </w:p>
    <w:p w14:paraId="3FA87F47">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 促肾上腺皮质激素（ACTH）</w:t>
      </w:r>
    </w:p>
    <w:p w14:paraId="247A73F4">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ACTH是由垂体前叶分泌的一种多肽激素，促进皮质类激素的生成和分泌。ACTH分泌具有明显的昼夜节律，清晨水平最高，午夜最低。至觉醒起床前分泌增多，白天维持在较低水平，入睡时再减少。ACTH的主要临床意义为鉴别库欣综合征，ACTH分泌过多导致皮质醇水平升高，表现为肥胖、高血压和代谢异常。同时ACTH水平测定可用于鉴别原发性与继发性肾上腺皮质功能不全，原发性肾上腺皮质功能不全ACTH水平升高，下丘脑或垂体病变引起（如垂体肿瘤、手术、放疗、外伤等）的继发性肾上腺皮质功能不全ACTH分泌降低。</w:t>
      </w:r>
    </w:p>
    <w:p w14:paraId="0EB26519">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1.2 皮质醇激素（Cortisol）</w:t>
      </w:r>
    </w:p>
    <w:p w14:paraId="3C3D1C51">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皮质醇是一种由肾上腺皮质分泌的类固醇激素。皮质醇的分泌同ACTH一样，呈昼夜节律性，清晨达到峰值，夜间降至最低。皮质醇的生理功能包括促进糖异生，维持血糖稳定；调节蛋白质和脂肪代谢；抑制炎症和免疫反应，防止过度免疫损伤；并帮助维持心血管功能和血压稳定。</w:t>
      </w:r>
    </w:p>
    <w:p w14:paraId="7450690A">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皮质醇水平异常与多种疾病相关。皮质醇增多主要见于库欣综合征、功能性肾上腺疾病、异味ACTH肿瘤患者以及各种应激状态。皮质醇降低主要见于原发性与继发性肾上腺皮质功能减退，如艾迪生病等。</w:t>
      </w:r>
    </w:p>
    <w:p w14:paraId="286B53E9">
      <w:pPr>
        <w:numPr>
          <w:ilvl w:val="0"/>
          <w:numId w:val="1"/>
        </w:numPr>
        <w:spacing w:line="360" w:lineRule="auto"/>
        <w:ind w:left="0" w:leftChars="0" w:firstLine="0" w:firstLine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肾素----血管紧张素----醛固酮系统（RAAS）</w:t>
      </w:r>
    </w:p>
    <w:p w14:paraId="75B77661">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RAAS在维持心血管稳态中起核心作用，是调节血压、电解质平衡和体液容量的关键系统。当肾脏血流量减少或钠浓度降低时，肾素由肾小球旁器释放，将血管紧张素原转化为血管紧张素I。血管紧张素I在肺中被血管紧张素转换酶（ACE）转化为血管紧张素II，后者通过收缩血管和刺激醛固酮分泌来升高血压。醛固酮作用于肾小管，促进钠和水的重吸收，增加血容量，进一步稳定血压。</w:t>
      </w:r>
    </w:p>
    <w:p w14:paraId="02EE225E">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2.1 肾素（Renin）</w:t>
      </w:r>
    </w:p>
    <w:p w14:paraId="7855B494">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素是一种由肾脏产生的酶，主要来源于肾小球旁器的颗粒细胞，负责调节血压、体液和电解质平衡。当肾脏感知到血流量减少、血压下降或钠离子浓度降低时，肾素被释放到血液中。肾素将肝脏产生的血管紧张素原转化为血管紧张素I，后者在肺中被血管紧张素转换酶（ACE）转化为血管紧张素II。</w:t>
      </w:r>
    </w:p>
    <w:p w14:paraId="16B1C4E5">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临床上，肾素水平检测常用于诊断高血压、肾血管性高血压及原发性醛固酮增多症等疾病。低肾素水平可能提示盐皮质激素过量或原发性高血压，而高肾素水平则可能与肾动脉狭窄或心力衰竭相关。肾素活性测定有助于评估高血压病因，对诊断原发性醛固酮增多症和肾血管性高血压有重要意义。</w:t>
      </w:r>
    </w:p>
    <w:p w14:paraId="1F47DCF1">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2.2 血管紧张素II（Ang II）</w:t>
      </w:r>
    </w:p>
    <w:p w14:paraId="4FBF230A">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血管紧张素II（Ang II）具有强烈的血管收缩作用。通过作用于血管紧张素II受体（AT1和AT2），促进小动脉平滑肌收缩，直接升高血压；同时刺激肾上腺皮质分泌醛固酮，促进肾脏对钠和水的重吸收，增加血容量和血压。</w:t>
      </w:r>
    </w:p>
    <w:p w14:paraId="0DB47AE6">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临床上，通过检测Ang II水平，可以评估RAAS的活性，辅助诊断继发性高血压和肾血管性高血压。血管紧张素转换酶抑制剂（ACEI）和血管紧张素II受体拮抗剂（ARB）通过抑制Ang II的生成或作用，成为治疗高血压、心力衰竭和慢性肾病的一线药物，能够有效降低血压、改善心脏功能、延缓肾病进展。此外，针对Ang II的靶向治疗在心血管疾病和代谢综合征中也显示出广阔的应用前景。</w:t>
      </w:r>
    </w:p>
    <w:p w14:paraId="58B7B947">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2.3 醛固酮（ALD)</w:t>
      </w:r>
    </w:p>
    <w:p w14:paraId="31E228A5">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0"/>
          <w:sz w:val="32"/>
          <w:szCs w:val="32"/>
          <w:lang w:val="en-US" w:eastAsia="zh-CN" w:bidi="ar"/>
        </w:rPr>
        <w:t>醛固酮是一种由肾上腺皮质球状带分泌的盐皮质激素，主要通过调节肾脏对钠、钾和水的代谢来维持人体的电解质平衡和血容量稳定。醛固酮的主要作用是保钠排钾。它能增加肾小管对钠离子的重吸收，同时促进钾离子的分泌。在保钠的过程中，水也会随钠重吸收而被保留，从而增加血容量，维持血压稳定。此外，醛固酮还能调节细胞外液的渗透压，对维持体内电解质平衡和酸碱平衡起到重要作用。</w:t>
      </w:r>
    </w:p>
    <w:p w14:paraId="6FAAB99B">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生理情况下的醛固酮增多主要见于：低盐饮食、大量钠离子丢失、钾摄入过多时；妇女月经黄体期、妊娠后期；体位改变，立位升高，卧位下降。此外，醛固酮的分泌异常与多种疾病相关。醛固酮分泌过多会导致低血钾、高血压等症状，常见于原发性醛固酮增多症，由于肾上腺皮质自主分泌过量醛固酮，导致体内醛固酮水平升高。继发性醛固酮增多症是由于其他疾病或因素激活肾素-血管紧张素-醛固酮系统（RAAS），导致醛固酮分泌增加。常见原因包括：</w:t>
      </w:r>
      <w:r>
        <w:rPr>
          <w:rStyle w:val="5"/>
          <w:rFonts w:hint="eastAsia" w:ascii="仿宋_GB2312" w:hAnsi="仿宋_GB2312" w:eastAsia="仿宋_GB2312" w:cs="仿宋_GB2312"/>
          <w:b w:val="0"/>
          <w:bCs w:val="0"/>
          <w:kern w:val="0"/>
          <w:sz w:val="32"/>
          <w:szCs w:val="32"/>
          <w:lang w:val="en-US" w:eastAsia="zh-CN" w:bidi="ar"/>
        </w:rPr>
        <w:t>肾动脉狭窄</w:t>
      </w:r>
      <w:r>
        <w:rPr>
          <w:rFonts w:hint="eastAsia" w:ascii="仿宋_GB2312" w:hAnsi="仿宋_GB2312" w:eastAsia="仿宋_GB2312" w:cs="仿宋_GB2312"/>
          <w:b w:val="0"/>
          <w:bCs w:val="0"/>
          <w:kern w:val="0"/>
          <w:sz w:val="32"/>
          <w:szCs w:val="32"/>
          <w:lang w:val="en-US" w:eastAsia="zh-CN" w:bidi="ar"/>
        </w:rPr>
        <w:t>：</w:t>
      </w:r>
      <w:r>
        <w:rPr>
          <w:rStyle w:val="5"/>
          <w:rFonts w:hint="eastAsia" w:ascii="仿宋_GB2312" w:hAnsi="仿宋_GB2312" w:eastAsia="仿宋_GB2312" w:cs="仿宋_GB2312"/>
          <w:b w:val="0"/>
          <w:bCs w:val="0"/>
          <w:kern w:val="0"/>
          <w:sz w:val="32"/>
          <w:szCs w:val="32"/>
          <w:lang w:val="en-US" w:eastAsia="zh-CN" w:bidi="ar"/>
        </w:rPr>
        <w:t>心力衰竭、肝硬化、肾病综合征等。此外，</w:t>
      </w:r>
      <w:r>
        <w:rPr>
          <w:rFonts w:hint="eastAsia" w:ascii="仿宋_GB2312" w:hAnsi="仿宋_GB2312" w:eastAsia="仿宋_GB2312" w:cs="仿宋_GB2312"/>
          <w:b w:val="0"/>
          <w:bCs w:val="0"/>
          <w:kern w:val="0"/>
          <w:sz w:val="32"/>
          <w:szCs w:val="32"/>
          <w:lang w:val="en-US" w:eastAsia="zh-CN" w:bidi="ar"/>
        </w:rPr>
        <w:t>长期使用含雌激素的药物、促肾上腺皮质激素（ACTH）或某些利尿剂（如呋塞米）可能刺激醛固酮分泌。而醛固酮分泌减少则可能引起高血钾、低血压等，多见于肾上腺皮质功能减退等情况。在临床上，检测醛固酮水平有助于诊断和治疗这些疾病，同时在治疗心力衰竭、肝硬化腹水等疾病时，醛固酮拮抗剂也常被使用，以减轻钠水潴留和改善预后。</w:t>
      </w:r>
    </w:p>
    <w:p w14:paraId="6D05357A">
      <w:pPr>
        <w:widowControl w:val="0"/>
        <w:numPr>
          <w:ilvl w:val="0"/>
          <w:numId w:val="2"/>
        </w:numPr>
        <w:spacing w:line="360" w:lineRule="auto"/>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高血压激素五项的临床应用</w:t>
      </w:r>
    </w:p>
    <w:p w14:paraId="094A0A1E">
      <w:pPr>
        <w:widowControl w:val="0"/>
        <w:numPr>
          <w:ilvl w:val="0"/>
          <w:numId w:val="3"/>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继发性高血压的诊断</w:t>
      </w:r>
    </w:p>
    <w:p w14:paraId="1DFBA181">
      <w:pPr>
        <w:widowControl w:val="0"/>
        <w:numPr>
          <w:ilvl w:val="1"/>
          <w:numId w:val="3"/>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原发性醛固酮增多症( Primary Aldosteronism，PA)</w:t>
      </w:r>
    </w:p>
    <w:p w14:paraId="4EC2AE22">
      <w:pPr>
        <w:widowControl w:val="0"/>
        <w:numPr>
          <w:ilvl w:val="0"/>
          <w:numId w:val="0"/>
        </w:numPr>
        <w:spacing w:line="360" w:lineRule="auto"/>
        <w:ind w:lef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原发性醛固酮增多症（PA）是指肾上腺皮质自主性分泌过量醛固酮，导致体内醛固酮水平升高，肾素-血管紧张素-醛固酮系统（RAAS）受抑制，从而引起高血压和低血钾的临床综合征。过去认为原醛比较少见，但近年来的研究表明，其患病率并不低。2010年中华医学会内分泌学分会对1656例难治性高血压患者进行原醛症筛查发现PA患病率为7.1%。蔡军等2018年发表的研究显示，在高血压住院患者中，原醛占5.2%。我国学者在JACC上发表的最新的研究显示，新诊高血压患者中至少有4%存在原醛。</w:t>
      </w:r>
    </w:p>
    <w:p w14:paraId="3CD05C1B">
      <w:pPr>
        <w:widowControl w:val="0"/>
        <w:numPr>
          <w:ilvl w:val="0"/>
          <w:numId w:val="0"/>
        </w:numPr>
        <w:spacing w:line="360" w:lineRule="auto"/>
        <w:ind w:lef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2024版原发性醛固酮增多症诊断治疗的专家共识推荐对以下人群进行原醛症筛查：1. 持续性高血压 ( &gt;150/100 mmHg，1mmHg=0.133kPa）；使用3种常规降压药(包括利尿剂)无法控制血压(&gt;140/90 mmHg)的患者；使用≥4种降压药才能控制血压( &lt;140/90 mmHg)的患者及新诊断的高血压患者。2. 高血压合并自发性或利尿剂所致的低钾血症的患者。3. 高血压合并肾上腺意外瘤的患者。4. 早发性高血压家族史或早发( &lt;40岁) 脑血管意外家族史的高血压患者。5. 原醛症患者中存在高血压的一级亲属。6. 高血压合并阻塞性呼吸睡眠暂停的患者。</w:t>
      </w:r>
    </w:p>
    <w:p w14:paraId="139E8633">
      <w:pPr>
        <w:widowControl w:val="0"/>
        <w:numPr>
          <w:ilvl w:val="0"/>
          <w:numId w:val="0"/>
        </w:numPr>
        <w:spacing w:line="360" w:lineRule="auto"/>
        <w:ind w:lef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目前将血浆醛固酮与肾素活性比值( Aldosterone-to-Renin Ratio，ARR)被用作原醛症筛查指标。采血要求如下：1. 采血前需在清晨起床后保持非卧位状态（可坐、站或行走）至少2小时，然后静坐5~15分钟后采血。2. 采血时应尽量避免溶血。3. 检测血浆肾素活性（Plasma Renin Activity，PRA）的标本在送检过程中需保持冰浴；而检测直接肾素浓度（Direct Renin Concentration，DRC）的标本在送检过程中需保持室温（不可将采血管置于冰上，否则会导致无活性肾素转化为活性肾素），离心后应立即将血浆冷冻保存。PRA测定会受血管紧张素原浓度、样品预处理、培养时间、PH值的影响，DRC使用化学发光免疫分析法操作简便，结果更为稳定。但ARR存在一定的局限性。例如，当患者肾素水平较低（如血浆肾素活性PRA为0.1 ng/mL·h）且醛固酮水平也较低（如5 ng/dL）时，尽管ARR结果可能明显升高，但这种情况并不符合原醛症的诊断标准。 因此，为了提高筛查的准确性，筛查标准中加入“醛固酮水平&gt;15 ng/dL”这一要求。 </w:t>
      </w:r>
    </w:p>
    <w:p w14:paraId="0A61FEA6">
      <w:pPr>
        <w:widowControl w:val="0"/>
        <w:numPr>
          <w:ilvl w:val="0"/>
          <w:numId w:val="0"/>
        </w:numPr>
        <w:spacing w:line="360" w:lineRule="auto"/>
        <w:ind w:lef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此外ARR切点的选择也会影响原醛症诊断的特异度，ARR切点越高，诊断原醛症的特异度越高。因此，建议对ARR切点进行分层推荐。实验室可根据自身条件和需求，制定适合的特异度切点。如果无法获得上述分层切点，可采用常用的切点，即指南或共识推荐的标准切点。</w:t>
      </w:r>
    </w:p>
    <w:p w14:paraId="220813FD">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国内研究提出，对于醛固酮&gt;20 ng/dL、直接肾素浓度（DRC）&lt;2.5 mU/L且伴低钾血症的高血压患者，无需进行确诊试验即可确诊为原醛症。目前原醛症主要有4种确诊试验，包括口服高钠饮食试验、氟氢可的松试验、生理盐水试验和卡托普利试验。这4种试验各有优缺点，临床医生可根据患者实际情况进行选择：</w:t>
      </w:r>
    </w:p>
    <w:p w14:paraId="52153661">
      <w:pPr>
        <w:widowControl w:val="0"/>
        <w:numPr>
          <w:ilvl w:val="0"/>
          <w:numId w:val="4"/>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口服高钠饮食试验：通过增加钠摄入量来抑制醛固酮分泌，适用于部分患者，但不适合严重高血压、肾功能不全、心功能不全等患者。2. 氟氢可的松试验：是确诊原醛症最敏感的试验，但操作繁琐、准备时间长，且药物可及性有限，临床应用较少。3. 生理盐水试验：是国内常用的试验，通过快速扩容抑制醛固酮分泌，但可能导致血容量增加，诱发高血压危象或心功能衰竭，因此不适合血压难以控制、心功能不全或低钾血症患者。4. 卡托普利试验：安全性较好，试验过程中不会引起血压剧烈波动，且与每日摄盐水平无关，适合门诊患者。但其灵敏度和特异度相对较低，存在假阳性可能，建议在难以控制的高血压、心功能不全或低钾血症患者中使用。</w:t>
      </w:r>
    </w:p>
    <w:p w14:paraId="3F47E317">
      <w:pPr>
        <w:widowControl w:val="0"/>
        <w:numPr>
          <w:ilvl w:val="0"/>
          <w:numId w:val="0"/>
        </w:numPr>
        <w:spacing w:line="360" w:lineRule="auto"/>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5271135" cy="4172585"/>
            <wp:effectExtent l="0" t="0" r="571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135" cy="4172585"/>
                    </a:xfrm>
                    <a:prstGeom prst="rect">
                      <a:avLst/>
                    </a:prstGeom>
                    <a:noFill/>
                    <a:ln>
                      <a:noFill/>
                    </a:ln>
                  </pic:spPr>
                </pic:pic>
              </a:graphicData>
            </a:graphic>
          </wp:inline>
        </w:drawing>
      </w:r>
    </w:p>
    <w:p w14:paraId="0C1FD841">
      <w:pPr>
        <w:widowControl w:val="0"/>
        <w:numPr>
          <w:ilvl w:val="0"/>
          <w:numId w:val="0"/>
        </w:numPr>
        <w:spacing w:line="360" w:lineRule="auto"/>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图1原醛症诊断流程图</w:t>
      </w:r>
    </w:p>
    <w:p w14:paraId="0074F69C">
      <w:pPr>
        <w:widowControl w:val="0"/>
        <w:numPr>
          <w:ilvl w:val="0"/>
          <w:numId w:val="0"/>
        </w:numPr>
        <w:spacing w:line="360" w:lineRule="auto"/>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（引自</w:t>
      </w:r>
      <w:r>
        <w:rPr>
          <w:rFonts w:hint="eastAsia" w:ascii="仿宋_GB2312" w:hAnsi="仿宋_GB2312" w:eastAsia="仿宋_GB2312" w:cs="仿宋_GB2312"/>
          <w:b w:val="0"/>
          <w:bCs w:val="0"/>
          <w:sz w:val="32"/>
          <w:szCs w:val="32"/>
          <w:lang w:val="en-US" w:eastAsia="zh-CN"/>
        </w:rPr>
        <w:t>2024版原发性醛固酮增多症诊断治疗的专家共识）</w:t>
      </w:r>
    </w:p>
    <w:p w14:paraId="2AFBC1FF">
      <w:pPr>
        <w:widowControl w:val="0"/>
        <w:numPr>
          <w:ilvl w:val="0"/>
          <w:numId w:val="4"/>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库欣综合征（Cushing's syndrome，CS）</w:t>
      </w:r>
    </w:p>
    <w:p w14:paraId="52A6CF7D">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库欣综合征又称皮质醇增多症，是由于多种病因引起肾上腺皮质长期分泌过量糖皮质激素(主要是皮质醇)而产生的一系列症候群。库欣综合征的患者约80%有高血压表现，这也是发生心血管疾病的主要危险因素。库欣综合征在高血压人群中的患病率为0.1%-0.2%，可发生于任何年龄，多发于20-45岁，成人多于儿童，女性多于男性。</w:t>
      </w:r>
    </w:p>
    <w:p w14:paraId="720A3CCE">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库欣综合征的病因分类如下：1.依赖促肾上腺皮质激素(ACTH)的库欣综合征。包括：库欣病（Cushing's disease，CD），垂体 ACTH分泌过多，伴肾上腺皮质增生。异位ACTH综合征，垂体以外肿瘤分泌大量ACTH，伴肾上腺皮质增生。2. 不依赖ACTH的库欣综合征包括:肾上腺皮质腺瘤；肾上腺皮质腺癌等。</w:t>
      </w:r>
    </w:p>
    <w:p w14:paraId="2D95D59C">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库欣病是由多种因素引起肾上腺皮质分泌促肾上腺皮质激素（ACTH）的垂体腺瘤引起的以高皮质醇血症为特征的内源性库欣综合征最常见的病因。库欣病的临床症状复杂多样，过度分泌的 ACTH 刺激双侧肾上腺皮质增生并引起高皮质醇血症，可导致电解质紊乱，糖、脂代谢紊乱等一系列严重的临床症候群，累及全身多个脏器及系统。</w:t>
      </w:r>
    </w:p>
    <w:p w14:paraId="4EE03B32">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以下 CS 的筛查和诊断试验用于评估患者的皮质醇分泌状态。 1. 夜 间 唾 液 皮 质 醇（late night salivary cortisol，LNSC）：用于评估皮质醇分泌的昼夜节律是否消失。建议在患者通常的就寝时间而不必在午夜 23：00~24：00 采集唾液样本，以减少该试验的假阳性。2. 1 mg 地 塞 米 松 过 夜 抑 制 试 验（1 mg dexamethasone suppression test，1 mg-DST）或小剂 量 地 塞 米 松 抑 制 试 验（low-dose dexamethasone suppression test，LDDST）：用于评估下丘脑-垂体-肾上腺（hypothalamic pituitary adrenal，HPA）轴反馈抑制功能是否正常。3. 24 h 尿游离皮质醇（urinary free cortisol，UFC）：用于评估皮质醇总体分泌量是否增多。上述试验诊断 CS 的灵敏度均超过 90%，但特异度稍差。其中 DST 和 LNSC 的灵敏度高于 24 h UFC，而 LNSC 的特异度高于 DST 和 UFC。2021 年版共识不再推荐午夜血清皮质醇试验作为CS的筛查试验。临床医师可根据当地的医疗条件以及患者的具体情况，对疑诊 CS 者选择上述任一试验或多个试验进行筛查。建议采用 DST 作为所有 CS 的首选筛查试验。</w:t>
      </w:r>
    </w:p>
    <w:p w14:paraId="347F3947">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库欣综合征的定位诊断主要依赖于 ACTH 测定、垂体 MRI、肾上腺CT，以及双侧岩下窦采血等。测定ACTH可用于CS患者的病因诊断，即鉴别ACTH依赖性和ACTH非依赖性CS。如8:00-9:00AM的ACTH&lt;10 pg/ml (2 pmoI/l)则提示为ACTH非依赖性 CS；但某些肾上腺性CS患者的皮质醇水平升高不明能抑制ACTH至上述水平；如 CATH&gt;20 pg/ml (4 pmol/l)则提示为ACTH依赖性CS。</w:t>
      </w:r>
    </w:p>
    <w:p w14:paraId="4001518B">
      <w:pPr>
        <w:widowControl w:val="0"/>
        <w:numPr>
          <w:ilvl w:val="0"/>
          <w:numId w:val="0"/>
        </w:numPr>
        <w:spacing w:line="360" w:lineRule="auto"/>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8164195" cy="3473450"/>
            <wp:effectExtent l="0" t="0" r="1270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rot="16200000">
                      <a:off x="0" y="0"/>
                      <a:ext cx="8164195" cy="3473450"/>
                    </a:xfrm>
                    <a:prstGeom prst="rect">
                      <a:avLst/>
                    </a:prstGeom>
                    <a:noFill/>
                    <a:ln>
                      <a:noFill/>
                    </a:ln>
                  </pic:spPr>
                </pic:pic>
              </a:graphicData>
            </a:graphic>
          </wp:inline>
        </w:drawing>
      </w:r>
    </w:p>
    <w:p w14:paraId="24353108">
      <w:pPr>
        <w:widowControl w:val="0"/>
        <w:numPr>
          <w:ilvl w:val="0"/>
          <w:numId w:val="0"/>
        </w:numPr>
        <w:spacing w:line="360" w:lineRule="auto"/>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图 2　库欣综合征诊断流程图</w:t>
      </w:r>
    </w:p>
    <w:p w14:paraId="65A8868F">
      <w:pPr>
        <w:widowControl w:val="0"/>
        <w:numPr>
          <w:ilvl w:val="0"/>
          <w:numId w:val="0"/>
        </w:numPr>
        <w:spacing w:line="360" w:lineRule="auto"/>
        <w:ind w:firstLine="640" w:firstLineChars="2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（引自2022年国际垂体协会《库欣病的诊断和管理共识（更新版）》解读）</w:t>
      </w:r>
    </w:p>
    <w:p w14:paraId="62F0A4A7">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高血压是一种常见的慢性疾病，全球范围内对心脑血管健康构成重大威胁。高血压可分为原发性和继发性，其中继发性高血压常由特定疾病或病因引起。通过高血压激素五项检测（包括ACTH、皮质醇、肾素、血管紧张素II和醛固酮），可以鉴别高血压的类型。高血压激素五项检测对明确继发性高血压的病因，如原发性醛固酮增多症和库欣综合征有重要意义。这些检测有助于精准诊断和治疗，尤其是对于难治性高血压患者。早期筛查和规范化管理对于控制血压、降低并发症风险至关重要。</w:t>
      </w:r>
    </w:p>
    <w:p w14:paraId="2C41CDEB">
      <w:pPr>
        <w:widowControl w:val="0"/>
        <w:numPr>
          <w:ilvl w:val="0"/>
          <w:numId w:val="0"/>
        </w:numPr>
        <w:spacing w:line="360" w:lineRule="auto"/>
        <w:ind w:firstLine="640" w:firstLineChars="200"/>
        <w:jc w:val="both"/>
        <w:rPr>
          <w:rFonts w:hint="eastAsia" w:ascii="仿宋_GB2312" w:hAnsi="仿宋_GB2312" w:eastAsia="仿宋_GB2312" w:cs="仿宋_GB2312"/>
          <w:b w:val="0"/>
          <w:bCs w:val="0"/>
          <w:sz w:val="32"/>
          <w:szCs w:val="32"/>
          <w:lang w:val="en-US" w:eastAsia="zh-CN"/>
        </w:rPr>
      </w:pPr>
    </w:p>
    <w:p w14:paraId="6D8F0D09">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2AA6F5EF">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5F94669A">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31C8476F">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567384AD">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370712CF">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254FE6A0">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7BF74C9A">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1984F9DD">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7EC3F40E">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p>
    <w:p w14:paraId="7D87B6E1">
      <w:pPr>
        <w:widowControl w:val="0"/>
        <w:numPr>
          <w:ilvl w:val="0"/>
          <w:numId w:val="0"/>
        </w:numPr>
        <w:spacing w:line="360" w:lineRule="auto"/>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附单选</w:t>
      </w:r>
      <w:bookmarkStart w:id="0" w:name="_GoBack"/>
      <w:bookmarkEnd w:id="0"/>
      <w:r>
        <w:rPr>
          <w:rFonts w:hint="eastAsia" w:ascii="仿宋_GB2312" w:hAnsi="仿宋_GB2312" w:eastAsia="仿宋_GB2312" w:cs="仿宋_GB2312"/>
          <w:b/>
          <w:bCs/>
          <w:sz w:val="32"/>
          <w:szCs w:val="32"/>
          <w:lang w:val="en-US" w:eastAsia="zh-CN"/>
        </w:rPr>
        <w:t>题</w:t>
      </w:r>
    </w:p>
    <w:p w14:paraId="5680922C">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 高血压的定义中，以下哪项不符合《中国高血压防治指南(2024年修订版)》的标准？</w:t>
      </w:r>
    </w:p>
    <w:p w14:paraId="303FE0B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诊室血压≥140/90mmHg</w:t>
      </w:r>
    </w:p>
    <w:p w14:paraId="735F2F90">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家庭血压≥135/85mmHg</w:t>
      </w:r>
    </w:p>
    <w:p w14:paraId="038DB5EB">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24h动态血压≥130/80mmHg</w:t>
      </w:r>
    </w:p>
    <w:p w14:paraId="3F64ADC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夜间血压≥130/80mmHg</w:t>
      </w:r>
    </w:p>
    <w:p w14:paraId="692894A1">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 以下哪项是继发性高血压的常见病因？</w:t>
      </w:r>
    </w:p>
    <w:p w14:paraId="510F617E">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遗传因素</w:t>
      </w:r>
    </w:p>
    <w:p w14:paraId="53E7F0C7">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肾脏疾病</w:t>
      </w:r>
    </w:p>
    <w:p w14:paraId="292680A8">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缺乏运动</w:t>
      </w:r>
    </w:p>
    <w:p w14:paraId="0F04818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高盐饮食</w:t>
      </w:r>
    </w:p>
    <w:p w14:paraId="14651B1E">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 促肾上腺皮质激素（ACTH）的主要临床意义是：</w:t>
      </w:r>
    </w:p>
    <w:p w14:paraId="3A96D4F1">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调节血糖水平</w:t>
      </w:r>
    </w:p>
    <w:p w14:paraId="5E7FB13C">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鉴别库欣综合征</w:t>
      </w:r>
    </w:p>
    <w:p w14:paraId="432828B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促进脂肪代谢</w:t>
      </w:r>
    </w:p>
    <w:p w14:paraId="139A62FF">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抑制炎症反应</w:t>
      </w:r>
    </w:p>
    <w:p w14:paraId="25F4F1BA">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 皮质醇的生理功能不包括：</w:t>
      </w:r>
    </w:p>
    <w:p w14:paraId="673B55B0">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促进糖异生</w:t>
      </w:r>
    </w:p>
    <w:p w14:paraId="25290AE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调节蛋白质和脂肪代谢</w:t>
      </w:r>
    </w:p>
    <w:p w14:paraId="3B750AE6">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抑制免疫反应</w:t>
      </w:r>
    </w:p>
    <w:p w14:paraId="737804D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促进钠和水的重吸收</w:t>
      </w:r>
    </w:p>
    <w:p w14:paraId="0B6CB78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 肾素-血管紧张素-醛固酮系统（RAAS）在以下哪种情况下会被激活？</w:t>
      </w:r>
    </w:p>
    <w:p w14:paraId="1D6EE2B9">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血流量增加</w:t>
      </w:r>
    </w:p>
    <w:p w14:paraId="6759C8A3">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血压升高</w:t>
      </w:r>
    </w:p>
    <w:p w14:paraId="1CFF45C0">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钠离子浓度降低</w:t>
      </w:r>
    </w:p>
    <w:p w14:paraId="7ECF5D03">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血容量增加</w:t>
      </w:r>
    </w:p>
    <w:p w14:paraId="6CDB9BE6">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 原发性醛固酮增多症（PA）的筛查指标是：</w:t>
      </w:r>
    </w:p>
    <w:p w14:paraId="48EF7539">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血浆醛固酮与肾素活性比值（ARR）</w:t>
      </w:r>
    </w:p>
    <w:p w14:paraId="595C9E3E">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皮质醇水平</w:t>
      </w:r>
    </w:p>
    <w:p w14:paraId="4D99A083">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ACTH水平</w:t>
      </w:r>
    </w:p>
    <w:p w14:paraId="27082508">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血管紧张素II水平</w:t>
      </w:r>
    </w:p>
    <w:p w14:paraId="39E53E0B">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 库欣综合征的病因分类中，以下哪项属于不依赖ACTH的库欣综合征？</w:t>
      </w:r>
    </w:p>
    <w:p w14:paraId="766F3E4E">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库欣病</w:t>
      </w:r>
    </w:p>
    <w:p w14:paraId="628F3B99">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异位ACTH综合征</w:t>
      </w:r>
    </w:p>
    <w:p w14:paraId="73AE6E57">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肾上腺皮质腺瘤</w:t>
      </w:r>
    </w:p>
    <w:p w14:paraId="4993CC7E">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垂体ACTH分泌过多</w:t>
      </w:r>
    </w:p>
    <w:p w14:paraId="06860DF3">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 以下哪项试验用于评估皮质醇分泌的昼夜节律是否消失？</w:t>
      </w:r>
    </w:p>
    <w:p w14:paraId="443224E8">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1 mg地塞米松过夜抑制试验</w:t>
      </w:r>
    </w:p>
    <w:p w14:paraId="66FCAB9C">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24小时尿游离皮质醇</w:t>
      </w:r>
    </w:p>
    <w:p w14:paraId="1A18D45D">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夜间唾液皮质醇</w:t>
      </w:r>
    </w:p>
    <w:p w14:paraId="2473DA3B">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垂体MRI</w:t>
      </w:r>
    </w:p>
    <w:p w14:paraId="3CEA9857">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 醛固酮的主要作用是：</w:t>
      </w:r>
    </w:p>
    <w:p w14:paraId="1C864DD6">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促进钾离子的重吸收</w:t>
      </w:r>
    </w:p>
    <w:p w14:paraId="25589F49">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促进钠和水的重吸收</w:t>
      </w:r>
    </w:p>
    <w:p w14:paraId="62C8153C">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抑制血管收缩</w:t>
      </w:r>
    </w:p>
    <w:p w14:paraId="26E95865">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降低血容量</w:t>
      </w:r>
    </w:p>
    <w:p w14:paraId="0C1972AA">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 以下哪项不是原发性醛固酮增多症的确诊试验？</w:t>
      </w:r>
    </w:p>
    <w:p w14:paraId="4F112DD6">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A. 口服高钠饮食试验</w:t>
      </w:r>
    </w:p>
    <w:p w14:paraId="33D583FA">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B. 氟氢可的松试验</w:t>
      </w:r>
    </w:p>
    <w:p w14:paraId="62DB9C92">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C. 生理盐水试验</w:t>
      </w:r>
    </w:p>
    <w:p w14:paraId="062B460B">
      <w:pPr>
        <w:widowControl w:val="0"/>
        <w:numPr>
          <w:ilvl w:val="0"/>
          <w:numId w:val="0"/>
        </w:numPr>
        <w:spacing w:line="360" w:lineRule="auto"/>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D. 24小时尿游离皮质醇试验</w:t>
      </w:r>
    </w:p>
    <w:p w14:paraId="46FFEEE1">
      <w:pPr>
        <w:widowControl w:val="0"/>
        <w:numPr>
          <w:ilvl w:val="0"/>
          <w:numId w:val="0"/>
        </w:numPr>
        <w:spacing w:line="360" w:lineRule="auto"/>
        <w:jc w:val="both"/>
        <w:rPr>
          <w:rFonts w:hint="eastAsia" w:ascii="宋体" w:hAnsi="宋体" w:eastAsia="宋体" w:cs="宋体"/>
          <w:b w:val="0"/>
          <w:bCs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35427C"/>
    <w:multiLevelType w:val="multilevel"/>
    <w:tmpl w:val="B935427C"/>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C0D6524F"/>
    <w:multiLevelType w:val="singleLevel"/>
    <w:tmpl w:val="C0D6524F"/>
    <w:lvl w:ilvl="0" w:tentative="0">
      <w:start w:val="2"/>
      <w:numFmt w:val="decimal"/>
      <w:suff w:val="space"/>
      <w:lvlText w:val="%1."/>
      <w:lvlJc w:val="left"/>
      <w:pPr>
        <w:ind w:left="420"/>
      </w:pPr>
    </w:lvl>
  </w:abstractNum>
  <w:abstractNum w:abstractNumId="2">
    <w:nsid w:val="18363229"/>
    <w:multiLevelType w:val="singleLevel"/>
    <w:tmpl w:val="18363229"/>
    <w:lvl w:ilvl="0" w:tentative="0">
      <w:start w:val="2"/>
      <w:numFmt w:val="chineseCounting"/>
      <w:suff w:val="nothing"/>
      <w:lvlText w:val="%1、"/>
      <w:lvlJc w:val="left"/>
      <w:rPr>
        <w:rFonts w:hint="eastAsia"/>
      </w:rPr>
    </w:lvl>
  </w:abstractNum>
  <w:abstractNum w:abstractNumId="3">
    <w:nsid w:val="7BD49DB9"/>
    <w:multiLevelType w:val="singleLevel"/>
    <w:tmpl w:val="7BD49DB9"/>
    <w:lvl w:ilvl="0" w:tentative="0">
      <w:start w:val="1"/>
      <w:numFmt w:val="decimal"/>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lZDQyY2VkZjAzN2FjMzU0YjA3NDFkMWQzZDViNGIifQ=="/>
    <w:docVar w:name="KSO_WPS_MARK_KEY" w:val="418d44b0-e9bc-4adc-83ab-25f6bcf173ac"/>
  </w:docVars>
  <w:rsids>
    <w:rsidRoot w:val="00000000"/>
    <w:rsid w:val="00D44354"/>
    <w:rsid w:val="025F46CF"/>
    <w:rsid w:val="04405A93"/>
    <w:rsid w:val="13286209"/>
    <w:rsid w:val="19B63A54"/>
    <w:rsid w:val="1D072F9D"/>
    <w:rsid w:val="1E4D0B27"/>
    <w:rsid w:val="1F217CEF"/>
    <w:rsid w:val="1F455661"/>
    <w:rsid w:val="23906466"/>
    <w:rsid w:val="2A5B3759"/>
    <w:rsid w:val="2DB82CE4"/>
    <w:rsid w:val="38CF2D7A"/>
    <w:rsid w:val="3F226F64"/>
    <w:rsid w:val="40417335"/>
    <w:rsid w:val="41DE40BA"/>
    <w:rsid w:val="440B00C1"/>
    <w:rsid w:val="4D355CB8"/>
    <w:rsid w:val="52456432"/>
    <w:rsid w:val="55F935FB"/>
    <w:rsid w:val="570104EB"/>
    <w:rsid w:val="607C4B58"/>
    <w:rsid w:val="6155027F"/>
    <w:rsid w:val="617F088A"/>
    <w:rsid w:val="65397612"/>
    <w:rsid w:val="69291BFA"/>
    <w:rsid w:val="6CDE29D9"/>
    <w:rsid w:val="6CE917B7"/>
    <w:rsid w:val="70E538D5"/>
    <w:rsid w:val="710276AA"/>
    <w:rsid w:val="72B505D9"/>
    <w:rsid w:val="738E5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5944</Words>
  <Characters>6799</Characters>
  <Lines>0</Lines>
  <Paragraphs>0</Paragraphs>
  <TotalTime>29</TotalTime>
  <ScaleCrop>false</ScaleCrop>
  <LinksUpToDate>false</LinksUpToDate>
  <CharactersWithSpaces>7117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2025-02-18T00:53:00Z</dcterms:created>
  <dc:creator>Administrator</dc:creator>
  <cp:lastModifiedBy>lenovo</cp:lastModifiedBy>
  <dcterms:modified xsi:type="dcterms:W3CDTF">2025-06-17T07:57:59Z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eyJoZGlkIjoiMDAxYmE2ZWJmM2RkM2I4YjQwM2FjMjkzN2EyMTE1MGUifQ==</vt:lpwstr>
  </property>
  <property fmtid="{D5CDD505-2E9C-101B-9397-08002B2CF9AE}" pid="4" name="ICV">
    <vt:lpwstr>ADD65F49A12A43DCB7DE49DA9E29C496_12</vt:lpwstr>
  </property>
</Properties>
</file>